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2" w:rsidRPr="00D122EE" w:rsidRDefault="00D122EE" w:rsidP="005143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43407" w:rsidRPr="00D122EE">
        <w:rPr>
          <w:rFonts w:hAnsi="Times New Roman" w:cs="Times New Roman"/>
          <w:color w:val="000000"/>
          <w:sz w:val="24"/>
          <w:szCs w:val="24"/>
          <w:lang w:val="ru-RU"/>
        </w:rPr>
        <w:t>униципальное бюджетное дошкольное образовательное учреждение</w:t>
      </w:r>
      <w:r w:rsidR="00A43407" w:rsidRPr="00D122EE">
        <w:rPr>
          <w:lang w:val="ru-RU"/>
        </w:rPr>
        <w:br/>
      </w:r>
      <w:r w:rsidR="00A43407" w:rsidRPr="00D122EE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="00A4340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 «Радуга</w:t>
      </w:r>
      <w:r w:rsidR="00A43407" w:rsidRPr="00D122EE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143F2" w:rsidRPr="005143F2" w:rsidRDefault="005143F2" w:rsidP="005143F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>УТВЕРЖДАЮ</w:t>
      </w:r>
    </w:p>
    <w:p w:rsidR="005143F2" w:rsidRPr="005143F2" w:rsidRDefault="005143F2" w:rsidP="005143F2">
      <w:pPr>
        <w:pStyle w:val="a3"/>
        <w:ind w:firstLine="708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Заведующий МБДОУ </w:t>
      </w:r>
      <w:proofErr w:type="spellStart"/>
      <w:r w:rsidRPr="005143F2">
        <w:rPr>
          <w:rFonts w:ascii="Times New Roman" w:hAnsi="Times New Roman"/>
          <w:sz w:val="24"/>
          <w:szCs w:val="28"/>
        </w:rPr>
        <w:t>д</w:t>
      </w:r>
      <w:proofErr w:type="spellEnd"/>
      <w:r w:rsidRPr="005143F2">
        <w:rPr>
          <w:rFonts w:ascii="Times New Roman" w:hAnsi="Times New Roman"/>
          <w:sz w:val="24"/>
          <w:szCs w:val="28"/>
        </w:rPr>
        <w:t>/с № 15</w:t>
      </w:r>
    </w:p>
    <w:p w:rsidR="005143F2" w:rsidRPr="005143F2" w:rsidRDefault="005143F2" w:rsidP="005143F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___________О. Н. </w:t>
      </w:r>
      <w:proofErr w:type="spellStart"/>
      <w:r w:rsidRPr="005143F2">
        <w:rPr>
          <w:rFonts w:ascii="Times New Roman" w:hAnsi="Times New Roman"/>
          <w:sz w:val="24"/>
          <w:szCs w:val="28"/>
        </w:rPr>
        <w:t>Алексенко</w:t>
      </w:r>
      <w:proofErr w:type="spellEnd"/>
    </w:p>
    <w:p w:rsidR="005903FE" w:rsidRPr="005143F2" w:rsidRDefault="005143F2" w:rsidP="005143F2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5143F2">
        <w:rPr>
          <w:rFonts w:ascii="Times New Roman" w:hAnsi="Times New Roman"/>
          <w:sz w:val="24"/>
          <w:szCs w:val="28"/>
        </w:rPr>
        <w:t xml:space="preserve"> «____»____________ 20___ г.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 оценки качества образования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Положение)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22E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униципальном бюджетном дошкольном образовательном учреждении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122EE">
        <w:rPr>
          <w:rFonts w:hAnsi="Times New Roman" w:cs="Times New Roman"/>
          <w:color w:val="000000"/>
          <w:sz w:val="24"/>
          <w:szCs w:val="24"/>
          <w:lang w:val="ru-RU"/>
        </w:rPr>
        <w:t>15 «Радуга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детский сад):</w:t>
      </w:r>
    </w:p>
    <w:p w:rsidR="005903FE" w:rsidRPr="00D122EE" w:rsidRDefault="00A434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состав контрольно-оценочных процедур;</w:t>
      </w:r>
    </w:p>
    <w:p w:rsidR="005903FE" w:rsidRPr="00D122EE" w:rsidRDefault="00A434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проведения контрольно-оценочных процедур;</w:t>
      </w:r>
    </w:p>
    <w:p w:rsidR="005903FE" w:rsidRPr="00D122EE" w:rsidRDefault="00A4340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формы оценки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различным направлениям;</w:t>
      </w:r>
    </w:p>
    <w:p w:rsidR="005903FE" w:rsidRPr="00D122EE" w:rsidRDefault="00A4340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порядку процедуры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параметры, используемые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процессе федерального государственного контроля качества образования.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1155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дошкольного образования»;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«Развитие образования», утвержденной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26.12.2017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1642;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организации, утвержденным приказом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14.06.2013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462;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10.12.2013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1324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5903FE" w:rsidRPr="00D122E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13.03.2019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114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показателей, характеризующих общие критерии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организациями, осуществляющими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5903FE" w:rsidRDefault="00A4340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Pr="00D122EE" w:rsidRDefault="00A4340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Качество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части обеспечения государственных гарантий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единства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условиям реализации образовательных программ дошкольного образования.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ДОО;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ходе организации образовательного процесса.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обеспечения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системе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обеспечения общепризнанной,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локальных актах системе государственно-общественных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также личностным ожиданиям участников образовательного процесса.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также оценка уровня образовательных достижений, которые имеют стандартизированную форму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содержание которых соответствует реализуемым образовательным программам.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качестве источников данных для оценки качества образования используются:</w:t>
      </w:r>
    </w:p>
    <w:p w:rsidR="005903FE" w:rsidRPr="00D122EE" w:rsidRDefault="00A434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5903FE" w:rsidRDefault="00A434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Default="00A434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диагностика;</w:t>
      </w:r>
    </w:p>
    <w:p w:rsidR="005903FE" w:rsidRPr="00D122EE" w:rsidRDefault="00A434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5903FE" w:rsidRPr="00D122EE" w:rsidRDefault="00A4340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аналитические отчеты педагогов ДОО (об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итогах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, созданных условиях для качественной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ДО);</w:t>
      </w:r>
    </w:p>
    <w:p w:rsidR="005903FE" w:rsidRPr="00D122EE" w:rsidRDefault="00A4340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наблюдение организованной образовательной деятельности, мероприятий, организуемых педагогами ДОО.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Положение, все дополнения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изменения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нему рассматриваются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педагогическим советом детского сада, утверждаются приказом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2.1. Цель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установить соответствие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 действующему 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2.2. Задачи ВСОКО:</w:t>
      </w:r>
    </w:p>
    <w:p w:rsidR="005903FE" w:rsidRPr="00D122EE" w:rsidRDefault="00A4340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хранения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903FE" w:rsidRPr="00D122EE" w:rsidRDefault="00A4340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анализ состояния системы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принятия обоснованных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своевременных управленческих решений,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образования;</w:t>
      </w:r>
    </w:p>
    <w:p w:rsidR="005903FE" w:rsidRPr="00D122EE" w:rsidRDefault="00A4340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устранение эффекта неполноты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неточности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этапе планирования образовательных результатов,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этапе оценки эффективности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достижению соответствующего качества образования.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2.3. Назначение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обеспечение детского сада информацией:</w:t>
      </w:r>
    </w:p>
    <w:p w:rsidR="005903FE" w:rsidRPr="00D122EE" w:rsidRDefault="00A434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903FE" w:rsidRDefault="00A43407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качестве условий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саду, обеспечивающих реализацию </w:t>
      </w:r>
      <w:r>
        <w:rPr>
          <w:rFonts w:hAnsi="Times New Roman" w:cs="Times New Roman"/>
          <w:color w:val="000000"/>
          <w:sz w:val="24"/>
          <w:szCs w:val="24"/>
        </w:rPr>
        <w:t>ООП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Pr="00D122EE" w:rsidRDefault="00A43407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образовательных результатов, достигнутых при реализации ООП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2.4. Основными принципами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 являются: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объективности, достоверности,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системности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образования;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для участников образовательных отношений;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образования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многократного использования);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 используемых показателей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учетом существующих возможностей сбора данных, методик измерений,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интерпретации данных, подготовленности потребителей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восприятию);</w:t>
      </w:r>
    </w:p>
    <w:p w:rsidR="005903FE" w:rsidRPr="00D122EE" w:rsidRDefault="00A43407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взаимозависимостей;</w:t>
      </w:r>
    </w:p>
    <w:p w:rsidR="005903FE" w:rsidRPr="00D122EE" w:rsidRDefault="00A43407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ВСОКО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3.1. Обязанность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рабочую группу, состав которой утверждается приказом детского сада.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3.2.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</w:t>
      </w:r>
      <w:r>
        <w:rPr>
          <w:rFonts w:hAnsi="Times New Roman" w:cs="Times New Roman"/>
          <w:color w:val="000000"/>
          <w:sz w:val="24"/>
          <w:szCs w:val="24"/>
        </w:rPr>
        <w:t>ВСОКО:</w:t>
      </w:r>
    </w:p>
    <w:p w:rsidR="005903FE" w:rsidRPr="00D122EE" w:rsidRDefault="00A4340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формирует блок локальных актов, которые регулируют функционирование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саду, представляет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утверждение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контролирует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исполнение;</w:t>
      </w:r>
    </w:p>
    <w:p w:rsidR="005903FE" w:rsidRPr="00D122EE" w:rsidRDefault="00A4340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проведение мониторинговых, социологических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процедур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вопросам качества образования;</w:t>
      </w:r>
    </w:p>
    <w:p w:rsidR="005903FE" w:rsidRPr="00D122EE" w:rsidRDefault="00A4340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организует сбор, обработку,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представление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уровне детского сада;</w:t>
      </w:r>
    </w:p>
    <w:p w:rsidR="005903FE" w:rsidRPr="00D122EE" w:rsidRDefault="00A43407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формирует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903FE" w:rsidRPr="00D122EE" w:rsidRDefault="00A43407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предлагает проекты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ВСОКО.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Педагогический совет детского сада:</w:t>
      </w:r>
    </w:p>
    <w:p w:rsidR="005903FE" w:rsidRPr="00D122EE" w:rsidRDefault="00A43407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заслушивает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903FE" w:rsidRPr="00D122EE" w:rsidRDefault="00A43407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процессе оценки качества.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5903FE" w:rsidRPr="00D122EE" w:rsidRDefault="00A4340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5903FE" w:rsidRPr="00D122EE" w:rsidRDefault="00A43407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качество организации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5903FE" w:rsidRPr="00D122EE" w:rsidRDefault="00A43407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качество результатов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детского сада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том числе для реализации программы воспитания (приложение 1):</w:t>
      </w:r>
    </w:p>
    <w:p w:rsidR="005903FE" w:rsidRDefault="00A4340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Default="00A4340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трансформируемость пространства;</w:t>
      </w:r>
    </w:p>
    <w:p w:rsidR="005903FE" w:rsidRDefault="00A4340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полифункциональность игровых материалов;</w:t>
      </w:r>
    </w:p>
    <w:p w:rsidR="005903FE" w:rsidRDefault="00A4340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вариативность предметно-пространственной среды;</w:t>
      </w:r>
    </w:p>
    <w:p w:rsidR="005903FE" w:rsidRDefault="00A43407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 предметно-пространственной среды;</w:t>
      </w:r>
    </w:p>
    <w:p w:rsidR="005903FE" w:rsidRDefault="00A43407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предметно-пространственной среды.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4.2.1.2. Материально-технических условий (приложение 2):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материально-техническому обеспечению образовательных программ;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средствам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воспитания, используемым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состоянию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содержанию территории, 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контролю организации питания;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организации медицинского обслуживания воспитанников;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охране 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территории;</w:t>
      </w:r>
    </w:p>
    <w:p w:rsidR="005903FE" w:rsidRPr="00D122E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правилами пожарной безопасности;</w:t>
      </w:r>
    </w:p>
    <w:p w:rsidR="005903FE" w:rsidRDefault="00A43407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Default="00A43407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доступной среде.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4.2.1.3. Кадровых условий (приложение 3):</w:t>
      </w:r>
    </w:p>
    <w:p w:rsidR="005903FE" w:rsidRDefault="00A4340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педагогическими кадрами;</w:t>
      </w:r>
    </w:p>
    <w:p w:rsidR="005903FE" w:rsidRDefault="00A4340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образования педагогических кадров;</w:t>
      </w:r>
    </w:p>
    <w:p w:rsidR="005903FE" w:rsidRDefault="00A4340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квалификации педагогических кадров;</w:t>
      </w:r>
    </w:p>
    <w:p w:rsidR="005903FE" w:rsidRPr="00D122EE" w:rsidRDefault="00A4340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5903FE" w:rsidRDefault="00A43407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Default="00A4340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достижения педагогических кадров.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4.2.1.4. Психолого-педагогических условий (приложение 4):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человеческому достоинству детей,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поддержка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положительной самооценки,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способностях;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методов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детьми,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взаимодействия 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детьми,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интересы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учитывающего социальную ситуацию его развития;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другу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детей друг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другом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деятельности, специфических для них видах деятельности;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возможность выбора детьми материалов, видов активности, участников совместной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общения;</w:t>
      </w:r>
    </w:p>
    <w:p w:rsidR="005903FE" w:rsidRPr="00D122EE" w:rsidRDefault="00A43407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защита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насилия;</w:t>
      </w:r>
    </w:p>
    <w:p w:rsidR="005903FE" w:rsidRPr="00D122EE" w:rsidRDefault="00A43407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укреплении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здоровья, вовлечение семей непосредственно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5903FE" w:rsidRDefault="00A4340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4.2.1.5. Финансовых условий (приложение 5):</w:t>
      </w:r>
    </w:p>
    <w:p w:rsidR="005903FE" w:rsidRPr="00D122EE" w:rsidRDefault="00A4340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оплату труда работников;</w:t>
      </w:r>
    </w:p>
    <w:p w:rsidR="005903FE" w:rsidRPr="00D122EE" w:rsidRDefault="00A4340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воспитания, соответствующих материалов;</w:t>
      </w:r>
    </w:p>
    <w:p w:rsidR="005903FE" w:rsidRPr="00D122EE" w:rsidRDefault="00A4340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образованием педагогических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профилю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деятельности;</w:t>
      </w:r>
    </w:p>
    <w:p w:rsidR="005903FE" w:rsidRPr="00D122EE" w:rsidRDefault="00A43407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контроль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финансовом обеспечении, представленной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сада;</w:t>
      </w:r>
    </w:p>
    <w:p w:rsidR="005903FE" w:rsidRPr="00D122EE" w:rsidRDefault="00A43407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дополнительных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4.2.2. Система оценки 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организации образовательной деятельности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себя оценку (приложение 6):</w:t>
      </w:r>
    </w:p>
    <w:p w:rsidR="005903FE" w:rsidRDefault="00A4340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ДО;</w:t>
      </w:r>
    </w:p>
    <w:p w:rsidR="005903FE" w:rsidRDefault="00A4340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АООП ДО;</w:t>
      </w:r>
    </w:p>
    <w:p w:rsidR="005903FE" w:rsidRDefault="00A4340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программы воспитания;</w:t>
      </w:r>
    </w:p>
    <w:p w:rsidR="005903FE" w:rsidRDefault="00A4340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 общеразвивающих программ;</w:t>
      </w:r>
    </w:p>
    <w:p w:rsidR="005903FE" w:rsidRPr="00D122EE" w:rsidRDefault="00A43407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ходе режимных моментов;</w:t>
      </w:r>
    </w:p>
    <w:p w:rsidR="005903FE" w:rsidRPr="00D122EE" w:rsidRDefault="00A43407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также сотрудничества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процедуры оценки системы 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результатов освоения</w:t>
      </w:r>
      <w:proofErr w:type="gramEnd"/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5903FE" w:rsidRPr="00D122EE" w:rsidRDefault="00A4340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динамики индивидуального развития детей при освоении ООП ДО, АООП, рабочих программ воспитания, дополнительных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7);</w:t>
      </w:r>
    </w:p>
    <w:p w:rsidR="005903FE" w:rsidRDefault="00A4340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903FE" w:rsidRPr="00D122EE" w:rsidRDefault="00A4340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условиям детского сада;</w:t>
      </w:r>
    </w:p>
    <w:p w:rsidR="005903FE" w:rsidRPr="00D122EE" w:rsidRDefault="00A4340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склонностей, интересов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достижений;</w:t>
      </w:r>
    </w:p>
    <w:p w:rsidR="005903FE" w:rsidRPr="00D122EE" w:rsidRDefault="00A4340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старших дошкольников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5903FE" w:rsidRPr="00D122EE" w:rsidRDefault="00A43407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 (приложение 8).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составляется план-график реализации мероприятий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учебный год,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котором определяются направления,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оценки, сроки, периодичность, ответственные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исполнители. План-график реализации мероприятий ВСОКО является составной частью планирования деятельности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5903FE" w:rsidRPr="00D122EE" w:rsidRDefault="00A4340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используемых методик;</w:t>
      </w:r>
    </w:p>
    <w:p w:rsidR="005903FE" w:rsidRPr="00D122EE" w:rsidRDefault="00A4340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обработка полученных данных, сопоставление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нормативными показателями;</w:t>
      </w:r>
    </w:p>
    <w:p w:rsidR="005903FE" w:rsidRPr="00D122EE" w:rsidRDefault="00A4340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детского сада;</w:t>
      </w:r>
    </w:p>
    <w:p w:rsidR="005903FE" w:rsidRPr="00D122EE" w:rsidRDefault="00A43407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факторов, принятие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устранению отрицательных последствий;</w:t>
      </w:r>
    </w:p>
    <w:p w:rsidR="005903FE" w:rsidRPr="00D122EE" w:rsidRDefault="00A43407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полученных данных.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 Результаты оценки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схемах, графиках, таблицах, диаграммах,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справочно-аналитических материалах, содержащих констатирующую часть,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конкретные, реально выполнимые рекомендации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исполнения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ответственных исполнителей.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4.6. Результаты анализа данных ВСОКО могут быть использованы для составления ежегодного отчета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5.1. Придание гласности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потребителям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размещения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детском саду,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излагаемых сведений, представляемых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итогам оценки.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могут быть внесены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дополнения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основе решения педагогического совета.</w:t>
      </w:r>
    </w:p>
    <w:p w:rsidR="005903FE" w:rsidRPr="00D122EE" w:rsidRDefault="00A434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5.5.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влекут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proofErr w:type="gramStart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903FE" w:rsidRPr="00D122EE" w:rsidRDefault="005903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РППС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1"/>
        <w:gridCol w:w="5150"/>
        <w:gridCol w:w="2249"/>
        <w:gridCol w:w="1177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5903FE" w:rsidRPr="00D122EE" w:rsidRDefault="00A43407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5903FE" w:rsidRPr="00D122EE" w:rsidRDefault="00A43407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5903FE" w:rsidRPr="00D122EE" w:rsidRDefault="00A43407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лестницы, используются для развития детей (оформляются детскими рисунками;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образовательного пространства учитывается целостность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различных временных сооружений (домиков, игровых уголков, оград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учтены особенности образовательной деятельности (например, наличие приоритетной направленности),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экономические условия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различных пространств (для игры, конструирования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разнообразных материалов, игр, игрушек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учитывается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гендерная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залах, зимнем саду, изостудии, театре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деятельности детей как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реализацией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условиях, для соблюдения единства семейного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ходе реализации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группах различных центров активности, дающих возможность детям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приобрести разнообразный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использования,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санитарно-эпидемиологические правила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комфортных условий для работы сотрудников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инфраструктуры детского сада,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территории детского сада организована защита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"/>
        <w:gridCol w:w="5174"/>
        <w:gridCol w:w="2254"/>
        <w:gridCol w:w="1179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ООП ДО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учебно-методическим комплектом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объеме, предусмотренном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имеется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песочница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шкафчиках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сертификатов на игрушки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медицинском блоке процедурного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кабинета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медицинского кабинета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требований техники безопасности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имеется специализированная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внутренних пожарных кранов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перекаткой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5247"/>
        <w:gridCol w:w="2283"/>
        <w:gridCol w:w="1197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учитель-логопед, учитель-дефектолог, социальный педагог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дополнительно предусмотренных ассистентов (помощников), оказывающих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необходимую помощь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уровня квалификации педагогических кадров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работникам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разработаны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реализуются программы повышения квалификации управленческих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кадров, предусматривающие владение ими теоретическими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знаниями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обеспечено методическое сопровождение педагогических кадров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касающийся участия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городских, областных, всероссийских мероприятиях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презентующих опыт педагогов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муниципального, регионального уровней ежегодно участвуют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федерального уровня ежегодно участвуют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научно-методических сборниках, журналах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03FE" w:rsidRPr="00D122EE" w:rsidRDefault="005903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903FE" w:rsidRPr="00D122EE" w:rsidRDefault="005903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143F2"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903FE" w:rsidRPr="00D122EE" w:rsidRDefault="00A434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1"/>
        <w:gridCol w:w="5211"/>
        <w:gridCol w:w="2230"/>
        <w:gridCol w:w="1165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 уважительно, внимательно, позитивно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побуждает детей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 свои чувства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личности каждого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(обращаются вежливо,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допускают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еде, одежде, играх, занятиях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то, что ему пока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коллектив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проявлений ребенка; обеспечивает гибкое ситуативное взаимодействие, опирающееся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образовательной деятельности, касающийся поддержки педагогом 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положительного, доброжелательного отношения детей друг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учитывая желания друг друга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 ролей, последовательности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чтобы понять ребенка как личность,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создавать для него комфортные условия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инициативу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любые просьбы детей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своему желанию использовать свободное время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 эмоциональные проблемы собственного ребенка, овладевать алгоритмом творческого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 других семей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</w:t>
            </w:r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формированию способности сопереживать, проявляя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обеспечивает максимально возможное расширение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социокультурного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пространства семьи ребенка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детьми,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дня, каковы позитивные стороны личности ребенка, какие достижения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5143F2" w:rsidRPr="00D122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1"/>
        <w:gridCol w:w="5092"/>
        <w:gridCol w:w="2342"/>
        <w:gridCol w:w="1232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ООП ДО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педагогических работников осуществляется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профессиональной переподготовке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 обеспечении, представленной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 w:rsidRPr="005143F2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дополнительных образовательных услуг,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903FE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3"/>
        <w:gridCol w:w="3261"/>
        <w:gridCol w:w="2743"/>
      </w:tblGrid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 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соответствует,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частично соответствует,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полностью соответствует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ДО, АООП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5903FE" w:rsidRPr="00D122EE" w:rsidRDefault="00A434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5903FE" w:rsidRDefault="00A434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3FE" w:rsidRDefault="005903FE">
      <w:pPr>
        <w:rPr>
          <w:rFonts w:hAnsi="Times New Roman" w:cs="Times New Roman"/>
          <w:color w:val="000000"/>
          <w:sz w:val="24"/>
          <w:szCs w:val="24"/>
        </w:rPr>
      </w:pPr>
    </w:p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143F2" w:rsidRDefault="005143F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Default="00A4340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динамики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83"/>
        <w:gridCol w:w="2547"/>
        <w:gridCol w:w="2547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воспитанника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spellStart"/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spellEnd"/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выше-ниже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длиннее-короче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одинаковые, равные) способом приложения или наложения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3FE" w:rsidRDefault="005903FE">
      <w:pPr>
        <w:rPr>
          <w:rFonts w:hAnsi="Times New Roman" w:cs="Times New Roman"/>
          <w:color w:val="000000"/>
          <w:sz w:val="24"/>
          <w:szCs w:val="24"/>
        </w:rPr>
      </w:pPr>
    </w:p>
    <w:p w:rsidR="005903FE" w:rsidRDefault="00A4340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Средние показатели по группе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83"/>
        <w:gridCol w:w="2547"/>
        <w:gridCol w:w="2547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______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spellStart"/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spellEnd"/>
            <w:proofErr w:type="gram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выше-ниже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длиннее-короче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одинаковые, равные) способом приложения или наложения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Сопровождает речью индивидуальные игры, рисование, конструирование, бытовые 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 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по направлению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 w:rsidRPr="005143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0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Default="00A4340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903FE" w:rsidRDefault="005903F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D122EE" w:rsidRDefault="00D122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5903FE" w:rsidRPr="00D122EE" w:rsidRDefault="00A43407" w:rsidP="005143F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903FE" w:rsidRPr="00D122EE" w:rsidRDefault="00A434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 изучения мнений родителей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качестве предоставляемых образовательных</w:t>
      </w:r>
      <w:r w:rsidRPr="00D122EE">
        <w:rPr>
          <w:lang w:val="ru-RU"/>
        </w:rPr>
        <w:br/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22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81"/>
        <w:gridCol w:w="365"/>
        <w:gridCol w:w="511"/>
      </w:tblGrid>
      <w:tr w:rsidR="0059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59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3FE" w:rsidRDefault="00A434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выборе детского сада для ребенка учитывались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 отзывы других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организована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образования, планируемых результатах освоения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 родителей учитывалось при разработке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своевременно предоставляется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актуальная информация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базе дошкольного образования, изменениям в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ООП </w:t>
            </w:r>
            <w:proofErr w:type="gram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относятся уважительно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участии в групповых и </w:t>
            </w:r>
            <w:proofErr w:type="spellStart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903FE" w:rsidRPr="005143F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3FE" w:rsidRPr="00D122EE" w:rsidRDefault="00A43407">
            <w:pPr>
              <w:rPr>
                <w:lang w:val="ru-RU"/>
              </w:rPr>
            </w:pP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будем рекомендовать детский сад коллегам по</w:t>
            </w:r>
            <w:r w:rsidRPr="00D122EE">
              <w:rPr>
                <w:lang w:val="ru-RU"/>
              </w:rPr>
              <w:br/>
            </w:r>
            <w:r w:rsidRPr="00D12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работе/соседям/друзьям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3FE" w:rsidRPr="00D122EE" w:rsidRDefault="0059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3407" w:rsidRPr="00D122EE" w:rsidRDefault="00A43407">
      <w:pPr>
        <w:rPr>
          <w:lang w:val="ru-RU"/>
        </w:rPr>
      </w:pPr>
    </w:p>
    <w:sectPr w:rsidR="00A43407" w:rsidRPr="00D122EE" w:rsidSect="005903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7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E3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C5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D6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D5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9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73E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80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70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D2F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56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27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323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4E3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A2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F04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A73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11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143F2"/>
    <w:rsid w:val="005903FE"/>
    <w:rsid w:val="005A05CE"/>
    <w:rsid w:val="00653AF6"/>
    <w:rsid w:val="00A43407"/>
    <w:rsid w:val="00B73A5A"/>
    <w:rsid w:val="00C77CD8"/>
    <w:rsid w:val="00D122E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143F2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5143F2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9135</Words>
  <Characters>52074</Characters>
  <Application>Microsoft Office Word</Application>
  <DocSecurity>0</DocSecurity>
  <Lines>433</Lines>
  <Paragraphs>122</Paragraphs>
  <ScaleCrop>false</ScaleCrop>
  <Company/>
  <LinksUpToDate>false</LinksUpToDate>
  <CharactersWithSpaces>61087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3</cp:revision>
  <dcterms:created xsi:type="dcterms:W3CDTF">2022-04-15T08:26:00Z</dcterms:created>
  <dcterms:modified xsi:type="dcterms:W3CDTF">2022-04-15T11:15:00Z</dcterms:modified>
</cp:coreProperties>
</file>